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21EA1F18" w:rsidR="0072450B" w:rsidRPr="009110E9" w:rsidRDefault="000976B4" w:rsidP="00275F6E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01D5B704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996640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</w:t>
            </w:r>
            <w:r w:rsidR="002F4CFF">
              <w:rPr>
                <w:rFonts w:cs="Times New Roman"/>
              </w:rPr>
              <w:t>K</w:t>
            </w:r>
            <w:r w:rsidR="00CF13B0">
              <w:rPr>
                <w:rFonts w:cs="Times New Roman"/>
              </w:rPr>
              <w:t>K</w:t>
            </w:r>
            <w:r w:rsidR="00EA114A">
              <w:rPr>
                <w:rFonts w:cs="Times New Roman"/>
              </w:rPr>
              <w:t xml:space="preserve">T 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>arba elewacyjna nanosilikonowa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Aquatex.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>Fundament posiada w ścianach otwory Ø125 (mm) i Ø170 (mm) do prowadzenia kabli nN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nN; oraz PKL 170 dla SN prod.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>Piwnica jako monolit, w połączeniu z odpowiednim wykończeniem powierzchni oraz techniką przepustów zapewnia całkowitą wodo i olejo</w:t>
      </w:r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196016BE" w14:textId="77777777" w:rsidR="00A92C77" w:rsidRDefault="00A92C77" w:rsidP="00A92C77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08ED79A3" w14:textId="1655372A" w:rsidR="00A92C77" w:rsidRDefault="00A92C77" w:rsidP="00A92C77">
      <w:pPr>
        <w:ind w:firstLine="708"/>
      </w:pPr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niewysadzinowych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099D7882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A3797A">
        <w:t xml:space="preserve"> oraz </w:t>
      </w:r>
      <w:r w:rsidRPr="0072450B">
        <w:t>rozdzielnicę nN</w:t>
      </w:r>
      <w:r w:rsidR="00A3797A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4E7D58AB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r>
        <w:rPr>
          <w:rFonts w:ascii="Calibri" w:eastAsia="Calibri" w:hAnsi="Calibri" w:cs="Times New Roman"/>
        </w:rPr>
        <w:t>Xiria / Xiria-xGear w układzie K</w:t>
      </w:r>
      <w:r w:rsidR="002F4CFF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 xml:space="preserve">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C619A6">
        <w:rPr>
          <w:rFonts w:ascii="Calibri" w:eastAsia="Calibri" w:hAnsi="Calibri" w:cs="Times New Roman"/>
        </w:rPr>
        <w:t xml:space="preserve"> </w:t>
      </w:r>
      <w:r w:rsidR="00C619A6" w:rsidRPr="00C619A6">
        <w:rPr>
          <w:rFonts w:ascii="Calibri" w:eastAsia="Calibri" w:hAnsi="Calibri" w:cs="Times New Roman"/>
        </w:rPr>
        <w:t>o izolacji stałopowietrznej</w:t>
      </w:r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E252A9">
        <w:rPr>
          <w:rFonts w:ascii="Calibri" w:eastAsia="Calibri" w:hAnsi="Calibri" w:cs="Times New Roman"/>
        </w:rPr>
        <w:t>3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5E9F7F86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 w:rsidR="006E14D8">
        <w:rPr>
          <w:rFonts w:ascii="Calibri" w:eastAsia="Calibri" w:hAnsi="Calibri" w:cs="Times New Roman"/>
        </w:rPr>
        <w:t>,</w:t>
      </w:r>
      <w:r w:rsidR="00E252A9">
        <w:rPr>
          <w:rFonts w:ascii="Calibri" w:eastAsia="Calibri" w:hAnsi="Calibri" w:cs="Times New Roman"/>
        </w:rPr>
        <w:t xml:space="preserve"> </w:t>
      </w:r>
      <w:r w:rsidRPr="0072450B">
        <w:rPr>
          <w:rFonts w:ascii="Calibri" w:eastAsia="Calibri" w:hAnsi="Calibri" w:cs="Times New Roman"/>
        </w:rPr>
        <w:t xml:space="preserve">wyposażone w napęd trójpołożeniowy odłączniko-uziemnik z napędem ręcznym, rozłącznik próżniowy 630A z napędem </w:t>
      </w:r>
      <w:r w:rsidR="00A3797A">
        <w:rPr>
          <w:rFonts w:ascii="Calibri" w:eastAsia="Calibri" w:hAnsi="Calibri" w:cs="Times New Roman"/>
        </w:rPr>
        <w:t>ręcznym</w:t>
      </w:r>
      <w:r w:rsidR="00D31466">
        <w:rPr>
          <w:rFonts w:ascii="Calibri" w:eastAsia="Calibri" w:hAnsi="Calibri" w:cs="Times New Roman"/>
        </w:rPr>
        <w:t>.</w:t>
      </w:r>
    </w:p>
    <w:p w14:paraId="5593EED4" w14:textId="3C9AA59F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E252A9">
        <w:rPr>
          <w:rFonts w:ascii="Calibri" w:eastAsia="Calibri" w:hAnsi="Calibri" w:cs="Times New Roman"/>
        </w:rPr>
        <w:t>3</w:t>
      </w:r>
      <w:r w:rsidRPr="0072450B">
        <w:rPr>
          <w:rFonts w:ascii="Calibri" w:eastAsia="Calibri" w:hAnsi="Calibri" w:cs="Times New Roman"/>
        </w:rPr>
        <w:t xml:space="preserve"> wyposażone w trójpolowy  odłączniko-uziemnik z napędem ręcznym, wyłącznik próżniowy 200A z napędem </w:t>
      </w:r>
      <w:r w:rsidR="00A3797A">
        <w:rPr>
          <w:rFonts w:ascii="Calibri" w:eastAsia="Calibri" w:hAnsi="Calibri" w:cs="Times New Roman"/>
        </w:rPr>
        <w:t>ręcznym</w:t>
      </w:r>
      <w:r w:rsidR="00D31466">
        <w:rPr>
          <w:rFonts w:ascii="Calibri" w:eastAsia="Calibri" w:hAnsi="Calibri" w:cs="Times New Roman"/>
        </w:rPr>
        <w:t xml:space="preserve">, </w:t>
      </w:r>
      <w:r w:rsidRPr="0072450B">
        <w:rPr>
          <w:rFonts w:ascii="Calibri" w:eastAsia="Calibri" w:hAnsi="Calibri" w:cs="Times New Roman"/>
        </w:rPr>
        <w:t>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>Rozdzielnica nN</w:t>
      </w:r>
    </w:p>
    <w:p w14:paraId="39235BFE" w14:textId="0048A58D" w:rsidR="001F5398" w:rsidRDefault="00C907B7" w:rsidP="001F5398">
      <w:pPr>
        <w:ind w:firstLine="360"/>
      </w:pPr>
      <w:r w:rsidRPr="0072450B">
        <w:lastRenderedPageBreak/>
        <w:t>Konstrukcja rozdzielnicy nN</w:t>
      </w:r>
      <w:r w:rsidR="001F5398">
        <w:t xml:space="preserve"> typu RNL</w:t>
      </w:r>
      <w:r w:rsidRPr="0072450B">
        <w:t xml:space="preserve"> wykonana jest z elementów przystosowanych do połączeń poprzez skręcanie. Rozdzielnica nN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>Połączenie rozdzielnicy nN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2D3F5859" w14:textId="3F84C8C3" w:rsidR="004C5086" w:rsidRPr="0072450B" w:rsidRDefault="005C1DD6" w:rsidP="004C5086">
      <w:pPr>
        <w:pStyle w:val="Nagwek2"/>
      </w:pPr>
      <w:bookmarkStart w:id="36" w:name="_Toc153954104"/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nN</w:t>
            </w:r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Łukoochronność</w:t>
            </w:r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FeZn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>Ochronę przeciwporażeniową stacji po stronie SN stanowi uziemienie ochronne, a po stronie nN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359BA02A" w14:textId="77777777" w:rsidR="00F90FB9" w:rsidRDefault="00F90FB9" w:rsidP="00662863"/>
    <w:p w14:paraId="235B12B3" w14:textId="77777777" w:rsidR="00F90FB9" w:rsidRDefault="00F90FB9" w:rsidP="00662863"/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lastRenderedPageBreak/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Ozn.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Jm.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nN</w:t>
            </w:r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79BC103" w14:textId="77777777" w:rsidR="00A3797A" w:rsidRDefault="00A3797A" w:rsidP="0050312B">
      <w:pPr>
        <w:spacing w:line="276" w:lineRule="auto"/>
        <w:rPr>
          <w:rFonts w:cs="Arial"/>
        </w:rPr>
      </w:pPr>
    </w:p>
    <w:p w14:paraId="0CF80DF1" w14:textId="77777777" w:rsidR="00A3797A" w:rsidRDefault="00A3797A" w:rsidP="0050312B">
      <w:pPr>
        <w:spacing w:line="276" w:lineRule="auto"/>
        <w:rPr>
          <w:rFonts w:cs="Arial"/>
        </w:rPr>
      </w:pPr>
    </w:p>
    <w:p w14:paraId="3C03190C" w14:textId="77777777" w:rsidR="00A3797A" w:rsidRDefault="00A3797A" w:rsidP="0050312B">
      <w:pPr>
        <w:spacing w:line="276" w:lineRule="auto"/>
        <w:rPr>
          <w:rFonts w:cs="Arial"/>
        </w:rPr>
      </w:pPr>
    </w:p>
    <w:p w14:paraId="28B53ECF" w14:textId="77777777" w:rsidR="00A3797A" w:rsidRDefault="00A3797A" w:rsidP="0050312B">
      <w:pPr>
        <w:spacing w:line="276" w:lineRule="auto"/>
        <w:rPr>
          <w:rFonts w:cs="Arial"/>
        </w:rPr>
      </w:pPr>
    </w:p>
    <w:p w14:paraId="7FE7B372" w14:textId="77777777" w:rsidR="00A3797A" w:rsidRDefault="00A3797A" w:rsidP="0050312B">
      <w:pPr>
        <w:spacing w:line="276" w:lineRule="auto"/>
        <w:rPr>
          <w:rFonts w:cs="Arial"/>
        </w:rPr>
      </w:pPr>
    </w:p>
    <w:p w14:paraId="7428F7D1" w14:textId="77777777" w:rsidR="00A3797A" w:rsidRDefault="00A3797A" w:rsidP="0050312B">
      <w:pPr>
        <w:spacing w:line="276" w:lineRule="auto"/>
        <w:rPr>
          <w:rFonts w:cs="Arial"/>
        </w:rPr>
      </w:pPr>
    </w:p>
    <w:p w14:paraId="4821D0A7" w14:textId="77777777" w:rsidR="00A3797A" w:rsidRDefault="00A3797A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r w:rsidR="00E439A7" w:rsidRPr="0072450B">
        <w:t>Xiria / Xiria-xGear</w:t>
      </w:r>
    </w:p>
    <w:p w14:paraId="5377681A" w14:textId="544E657E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>Rozdzielnica nN typu RNL</w:t>
      </w:r>
      <w:r w:rsidR="00723926">
        <w:t xml:space="preserve"> 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446BA635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podłączenia kabli SN i nN</w:t>
      </w:r>
      <w:r w:rsidR="001D45C0">
        <w:t xml:space="preserve"> oraz r</w:t>
      </w:r>
      <w:r w:rsidR="00C93711">
        <w:t>o</w:t>
      </w:r>
      <w:r w:rsidR="001D45C0">
        <w:t>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Uszczelnienie doprowadze</w:t>
      </w:r>
      <w:r w:rsidR="00314A39" w:rsidRPr="0072450B">
        <w:t>ń</w:t>
      </w:r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39B5A" w14:textId="77777777" w:rsidR="00FC08DB" w:rsidRDefault="00FC08DB" w:rsidP="00244B4D">
      <w:pPr>
        <w:spacing w:after="0" w:line="240" w:lineRule="auto"/>
      </w:pPr>
      <w:r>
        <w:separator/>
      </w:r>
    </w:p>
  </w:endnote>
  <w:endnote w:type="continuationSeparator" w:id="0">
    <w:p w14:paraId="22D153D0" w14:textId="77777777" w:rsidR="00FC08DB" w:rsidRDefault="00FC08DB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9648" w14:textId="77777777" w:rsidR="00FC08DB" w:rsidRDefault="00FC08DB" w:rsidP="00244B4D">
      <w:pPr>
        <w:spacing w:after="0" w:line="240" w:lineRule="auto"/>
      </w:pPr>
      <w:r>
        <w:separator/>
      </w:r>
    </w:p>
  </w:footnote>
  <w:footnote w:type="continuationSeparator" w:id="0">
    <w:p w14:paraId="731AC835" w14:textId="77777777" w:rsidR="00FC08DB" w:rsidRDefault="00FC08DB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13CE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2160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C62"/>
    <w:rsid w:val="0013436F"/>
    <w:rsid w:val="00134FCB"/>
    <w:rsid w:val="00142BDA"/>
    <w:rsid w:val="001701A7"/>
    <w:rsid w:val="00170E93"/>
    <w:rsid w:val="00172296"/>
    <w:rsid w:val="00180EA7"/>
    <w:rsid w:val="0018432A"/>
    <w:rsid w:val="00184C9A"/>
    <w:rsid w:val="00190655"/>
    <w:rsid w:val="001948DA"/>
    <w:rsid w:val="00194D87"/>
    <w:rsid w:val="00194FA6"/>
    <w:rsid w:val="001A00D5"/>
    <w:rsid w:val="001A17AE"/>
    <w:rsid w:val="001A431B"/>
    <w:rsid w:val="001B56CE"/>
    <w:rsid w:val="001B6964"/>
    <w:rsid w:val="001C1480"/>
    <w:rsid w:val="001C3A82"/>
    <w:rsid w:val="001C42C1"/>
    <w:rsid w:val="001C4EE0"/>
    <w:rsid w:val="001D318D"/>
    <w:rsid w:val="001D361F"/>
    <w:rsid w:val="001D45C0"/>
    <w:rsid w:val="001E4637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47D0B"/>
    <w:rsid w:val="002511FA"/>
    <w:rsid w:val="00262732"/>
    <w:rsid w:val="00264720"/>
    <w:rsid w:val="0027094A"/>
    <w:rsid w:val="00271D84"/>
    <w:rsid w:val="00275F6E"/>
    <w:rsid w:val="0027793E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4CFF"/>
    <w:rsid w:val="002F56AD"/>
    <w:rsid w:val="002F7E31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0AF"/>
    <w:rsid w:val="00367694"/>
    <w:rsid w:val="00371AA7"/>
    <w:rsid w:val="003857A9"/>
    <w:rsid w:val="00391675"/>
    <w:rsid w:val="00392439"/>
    <w:rsid w:val="003973E2"/>
    <w:rsid w:val="003A4D11"/>
    <w:rsid w:val="003A732A"/>
    <w:rsid w:val="003B48AE"/>
    <w:rsid w:val="003B7D4D"/>
    <w:rsid w:val="003C20A0"/>
    <w:rsid w:val="003D5B6C"/>
    <w:rsid w:val="003E675C"/>
    <w:rsid w:val="003F0633"/>
    <w:rsid w:val="00412A42"/>
    <w:rsid w:val="00413828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54A80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0E30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4517"/>
    <w:rsid w:val="005B00D6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0C6B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552"/>
    <w:rsid w:val="006C3618"/>
    <w:rsid w:val="006E14D8"/>
    <w:rsid w:val="006E46AB"/>
    <w:rsid w:val="006E5301"/>
    <w:rsid w:val="006E67F9"/>
    <w:rsid w:val="006F53C1"/>
    <w:rsid w:val="006F645B"/>
    <w:rsid w:val="00705F63"/>
    <w:rsid w:val="00706963"/>
    <w:rsid w:val="00723926"/>
    <w:rsid w:val="0072450B"/>
    <w:rsid w:val="0074234D"/>
    <w:rsid w:val="007454E6"/>
    <w:rsid w:val="007520F5"/>
    <w:rsid w:val="0076637E"/>
    <w:rsid w:val="00774FCE"/>
    <w:rsid w:val="0077505E"/>
    <w:rsid w:val="007863C3"/>
    <w:rsid w:val="00786C14"/>
    <w:rsid w:val="007920F5"/>
    <w:rsid w:val="007B0030"/>
    <w:rsid w:val="007C5ADD"/>
    <w:rsid w:val="007C650C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1181"/>
    <w:rsid w:val="00845D1A"/>
    <w:rsid w:val="008551E3"/>
    <w:rsid w:val="00860EA4"/>
    <w:rsid w:val="00861290"/>
    <w:rsid w:val="00861A2C"/>
    <w:rsid w:val="00871B6C"/>
    <w:rsid w:val="008732BF"/>
    <w:rsid w:val="008747B2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5454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51D6"/>
    <w:rsid w:val="008F7A36"/>
    <w:rsid w:val="00906896"/>
    <w:rsid w:val="009075A2"/>
    <w:rsid w:val="009110E9"/>
    <w:rsid w:val="00912F76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96640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482B"/>
    <w:rsid w:val="00A25241"/>
    <w:rsid w:val="00A268F8"/>
    <w:rsid w:val="00A3797A"/>
    <w:rsid w:val="00A61879"/>
    <w:rsid w:val="00A63C9A"/>
    <w:rsid w:val="00A64E04"/>
    <w:rsid w:val="00A70BA7"/>
    <w:rsid w:val="00A71C3A"/>
    <w:rsid w:val="00A86ED3"/>
    <w:rsid w:val="00A92C77"/>
    <w:rsid w:val="00A97EBE"/>
    <w:rsid w:val="00AA1374"/>
    <w:rsid w:val="00AB026B"/>
    <w:rsid w:val="00AB0B0A"/>
    <w:rsid w:val="00AB7D36"/>
    <w:rsid w:val="00AC364B"/>
    <w:rsid w:val="00AD1177"/>
    <w:rsid w:val="00AE55E2"/>
    <w:rsid w:val="00AE7216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4AE1"/>
    <w:rsid w:val="00B77568"/>
    <w:rsid w:val="00B809D6"/>
    <w:rsid w:val="00B84AEF"/>
    <w:rsid w:val="00B92E56"/>
    <w:rsid w:val="00BA0B18"/>
    <w:rsid w:val="00BA222F"/>
    <w:rsid w:val="00BA4FEB"/>
    <w:rsid w:val="00BB2D2B"/>
    <w:rsid w:val="00BB5862"/>
    <w:rsid w:val="00BC3355"/>
    <w:rsid w:val="00BC5D07"/>
    <w:rsid w:val="00BC5F58"/>
    <w:rsid w:val="00BD0E77"/>
    <w:rsid w:val="00BD251D"/>
    <w:rsid w:val="00BD41AC"/>
    <w:rsid w:val="00BF2B33"/>
    <w:rsid w:val="00C15678"/>
    <w:rsid w:val="00C15FF6"/>
    <w:rsid w:val="00C16521"/>
    <w:rsid w:val="00C21408"/>
    <w:rsid w:val="00C260A2"/>
    <w:rsid w:val="00C27F4E"/>
    <w:rsid w:val="00C40E5A"/>
    <w:rsid w:val="00C41BB2"/>
    <w:rsid w:val="00C468C9"/>
    <w:rsid w:val="00C56D01"/>
    <w:rsid w:val="00C619A6"/>
    <w:rsid w:val="00C70803"/>
    <w:rsid w:val="00C74F21"/>
    <w:rsid w:val="00C81516"/>
    <w:rsid w:val="00C85E5A"/>
    <w:rsid w:val="00C907B7"/>
    <w:rsid w:val="00C93711"/>
    <w:rsid w:val="00C95CC8"/>
    <w:rsid w:val="00C979FF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79AE"/>
    <w:rsid w:val="00D31466"/>
    <w:rsid w:val="00D3160A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904"/>
    <w:rsid w:val="00DB3CF9"/>
    <w:rsid w:val="00DC3AEC"/>
    <w:rsid w:val="00DC51D7"/>
    <w:rsid w:val="00DC6E9E"/>
    <w:rsid w:val="00DD5ED3"/>
    <w:rsid w:val="00DE3FDC"/>
    <w:rsid w:val="00DE775D"/>
    <w:rsid w:val="00DF0188"/>
    <w:rsid w:val="00DF3A34"/>
    <w:rsid w:val="00E02A93"/>
    <w:rsid w:val="00E121BA"/>
    <w:rsid w:val="00E175B4"/>
    <w:rsid w:val="00E2023B"/>
    <w:rsid w:val="00E22C23"/>
    <w:rsid w:val="00E24E48"/>
    <w:rsid w:val="00E24FB2"/>
    <w:rsid w:val="00E252A9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F12501"/>
    <w:rsid w:val="00F3013E"/>
    <w:rsid w:val="00F30330"/>
    <w:rsid w:val="00F34C06"/>
    <w:rsid w:val="00F3733F"/>
    <w:rsid w:val="00F479D0"/>
    <w:rsid w:val="00F64C4B"/>
    <w:rsid w:val="00F70503"/>
    <w:rsid w:val="00F74126"/>
    <w:rsid w:val="00F741C8"/>
    <w:rsid w:val="00F750E3"/>
    <w:rsid w:val="00F80C32"/>
    <w:rsid w:val="00F82173"/>
    <w:rsid w:val="00F87E52"/>
    <w:rsid w:val="00F90FB9"/>
    <w:rsid w:val="00F93B94"/>
    <w:rsid w:val="00F97A21"/>
    <w:rsid w:val="00FA04B8"/>
    <w:rsid w:val="00FB3165"/>
    <w:rsid w:val="00FC08DB"/>
    <w:rsid w:val="00FC1CB2"/>
    <w:rsid w:val="00FC6B5A"/>
    <w:rsid w:val="00FD2AE1"/>
    <w:rsid w:val="00FD53E1"/>
    <w:rsid w:val="00FE16A6"/>
    <w:rsid w:val="00FE38B0"/>
    <w:rsid w:val="00FE55D4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2510</Words>
  <Characters>15062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9</cp:revision>
  <cp:lastPrinted>2021-04-20T05:08:00Z</cp:lastPrinted>
  <dcterms:created xsi:type="dcterms:W3CDTF">2025-09-19T04:57:00Z</dcterms:created>
  <dcterms:modified xsi:type="dcterms:W3CDTF">2025-11-20T08:23:00Z</dcterms:modified>
</cp:coreProperties>
</file>